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CDEF" w14:textId="77777777" w:rsidR="001B3B3F" w:rsidRDefault="001B3B3F" w:rsidP="001B3B3F">
      <w:pPr>
        <w:pStyle w:val="NormalWeb"/>
      </w:pPr>
      <w:r>
        <w:rPr>
          <w:rFonts w:ascii="Times New Roman" w:hAnsi="Times New Roman" w:cs="Times New Roman"/>
        </w:rPr>
        <w:t xml:space="preserve">You have requested email notification of notices from Columbia Gas Transmission, LLC. Please see the following notice which has also been posted on our </w:t>
      </w:r>
      <w:proofErr w:type="spellStart"/>
      <w:r>
        <w:rPr>
          <w:rFonts w:ascii="Times New Roman" w:hAnsi="Times New Roman" w:cs="Times New Roman"/>
        </w:rPr>
        <w:t>Infopost</w:t>
      </w:r>
      <w:proofErr w:type="spellEnd"/>
      <w:r>
        <w:rPr>
          <w:rFonts w:ascii="Times New Roman" w:hAnsi="Times New Roman" w:cs="Times New Roman"/>
        </w:rPr>
        <w:t xml:space="preserve"> site:</w:t>
      </w:r>
    </w:p>
    <w:p w14:paraId="162C0E03" w14:textId="77777777" w:rsidR="001B3B3F" w:rsidRDefault="001B3B3F" w:rsidP="001B3B3F">
      <w:pPr>
        <w:pStyle w:val="NormalWeb"/>
      </w:pPr>
      <w:r>
        <w:rPr>
          <w:rFonts w:ascii="Times New Roman" w:hAnsi="Times New Roman" w:cs="Times New Roman"/>
        </w:rPr>
        <w:t>Subject: UPDATE: Storage Critical Day, Effective December 22, 2022 – Op Areas 1, 2, 4, 5, 6, 7, 8, 10</w:t>
      </w:r>
    </w:p>
    <w:p w14:paraId="332247CE" w14:textId="77777777" w:rsidR="001B3B3F" w:rsidRDefault="001B3B3F" w:rsidP="001B3B3F">
      <w:pPr>
        <w:pStyle w:val="NormalWeb"/>
        <w:rPr>
          <w:rFonts w:ascii="Times New Roman" w:hAnsi="Times New Roman" w:cs="Times New Roman"/>
        </w:rPr>
      </w:pPr>
      <w:r>
        <w:rPr>
          <w:rFonts w:ascii="Times New Roman" w:hAnsi="Times New Roman" w:cs="Times New Roman"/>
        </w:rPr>
        <w:t xml:space="preserve">Body: </w:t>
      </w:r>
    </w:p>
    <w:p w14:paraId="452984F3"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Columbia Gas Transmission, LLC (TCO) notifies customers beginning Thursday, December 22, 2022, Storage Critical Days are necessary for deliveries to all Market Areas within Operating Areas 1, 2, 4, 5, 6, 7, 8, and 10. TCO reminds customers of the Storage Critical Days currently in effect in Operating Areas 1, 4, and 10. Please note the following:      </w:t>
      </w:r>
    </w:p>
    <w:p w14:paraId="64DE3352"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Storage Critical Days</w:t>
      </w:r>
      <w:r>
        <w:rPr>
          <w:rFonts w:ascii="Times New Roman" w:hAnsi="Times New Roman" w:cs="Times New Roman"/>
        </w:rPr>
        <w:t>:  Thursday, December 22, 2022, and continuing until further notice. TCO will monitor conditions and provide updates as necessary.     </w:t>
      </w:r>
    </w:p>
    <w:p w14:paraId="3B63B0D9"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Storage Withdrawals delivered to Market Areas within Operating Areas 1, 2, 4, 5, 6, 7, 8, and 10 (see Market Areas below).     </w:t>
      </w:r>
    </w:p>
    <w:p w14:paraId="7A84496C"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Applicable Penalties</w:t>
      </w:r>
      <w:r>
        <w:rPr>
          <w:rFonts w:ascii="Times New Roman" w:hAnsi="Times New Roman" w:cs="Times New Roman"/>
        </w:rPr>
        <w:t>:     </w:t>
      </w:r>
    </w:p>
    <w:p w14:paraId="4001B736"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MDWQ - Withdrawn quantities in excess of 103% of the applicable contract MDWQ will be assessed a penalty based on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rate for “Columbia Gas, Appalachia,” posted in Gas Daily.     </w:t>
      </w:r>
    </w:p>
    <w:p w14:paraId="1CDE5994"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SCQ - If withdrawals from storage result in the FSS contract having a negative SCQ balance, a penalty of $5 per </w:t>
      </w:r>
      <w:proofErr w:type="spellStart"/>
      <w:r>
        <w:rPr>
          <w:rFonts w:ascii="Times New Roman" w:hAnsi="Times New Roman" w:cs="Times New Roman"/>
        </w:rPr>
        <w:t>Dth</w:t>
      </w:r>
      <w:proofErr w:type="spellEnd"/>
      <w:r>
        <w:rPr>
          <w:rFonts w:ascii="Times New Roman" w:hAnsi="Times New Roman" w:cs="Times New Roman"/>
        </w:rPr>
        <w:t xml:space="preserve"> will be assessed.  </w:t>
      </w:r>
    </w:p>
    <w:p w14:paraId="191F36C5"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MMWQ - Monthly Withdrawal Quantities that exceed 40% (December Limit) of SCQ will be assessed a penalty of $5.00 per </w:t>
      </w:r>
      <w:proofErr w:type="spellStart"/>
      <w:r>
        <w:rPr>
          <w:rFonts w:ascii="Times New Roman" w:hAnsi="Times New Roman" w:cs="Times New Roman"/>
        </w:rPr>
        <w:t>Dth</w:t>
      </w:r>
      <w:proofErr w:type="spellEnd"/>
      <w:r>
        <w:rPr>
          <w:rFonts w:ascii="Times New Roman" w:hAnsi="Times New Roman" w:cs="Times New Roman"/>
        </w:rPr>
        <w:t>.     </w:t>
      </w:r>
    </w:p>
    <w:p w14:paraId="5D84D94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Transporter projects no availability of interruptible storage withdrawal services (SIT, ISS, and FSS-M with zero MDSQ) and excess FSS withdrawals with delivery to one of the affected Market Areas.  PAL loans/ unparks with a delivery within the affected Market Areas will not be available.  Due ship nominations will be scheduled to zero.   </w:t>
      </w:r>
    </w:p>
    <w:p w14:paraId="4C90CEC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Please contact your Customer Services Representative with any questions.      </w:t>
      </w:r>
    </w:p>
    <w:p w14:paraId="6A59EC3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1 - MA 33, 34</w:t>
      </w:r>
    </w:p>
    <w:p w14:paraId="16C86CE7"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2 - MA 20</w:t>
      </w:r>
    </w:p>
    <w:p w14:paraId="220688C0"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4 - MA 21, 22, 23, 24, 25, 29</w:t>
      </w:r>
    </w:p>
    <w:p w14:paraId="6FB8F561"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5 - MA 2, 7</w:t>
      </w:r>
    </w:p>
    <w:p w14:paraId="25AA7CF5"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6 - MA 10, 11, 12, 13, 14</w:t>
      </w:r>
    </w:p>
    <w:p w14:paraId="18887A14"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7 - MA 1, 3, 4, 5, 6, 8, 9, 41</w:t>
      </w:r>
    </w:p>
    <w:p w14:paraId="46C01826"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lastRenderedPageBreak/>
        <w:t>Op Area 8 - MA 26, 27, 32, 35, 36, 38, 39, 40, 42</w:t>
      </w:r>
    </w:p>
    <w:p w14:paraId="526B3D33"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10 - MA 28, 30, 31</w:t>
      </w:r>
    </w:p>
    <w:p w14:paraId="7717ADBB"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w:t>
      </w:r>
      <w:r>
        <w:rPr>
          <w:rFonts w:ascii="Times New Roman" w:hAnsi="Times New Roman" w:cs="Times New Roman"/>
          <w:b/>
          <w:bCs/>
        </w:rPr>
        <w:t>  </w:t>
      </w:r>
      <w:r>
        <w:rPr>
          <w:rFonts w:ascii="Times New Roman" w:hAnsi="Times New Roman" w:cs="Times New Roman"/>
        </w:rPr>
        <w:t> </w:t>
      </w:r>
    </w:p>
    <w:p w14:paraId="6270E7D3"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***Previous Posting***</w:t>
      </w:r>
    </w:p>
    <w:p w14:paraId="207A8476" w14:textId="77777777" w:rsidR="001B3B3F" w:rsidRDefault="001B3B3F" w:rsidP="001B3B3F">
      <w:pPr>
        <w:spacing w:before="100" w:beforeAutospacing="1"/>
        <w:rPr>
          <w:rFonts w:ascii="Times New Roman" w:hAnsi="Times New Roman" w:cs="Times New Roman"/>
        </w:rPr>
      </w:pPr>
    </w:p>
    <w:p w14:paraId="1738718B"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Columbia Gas Transmission, LLC (TCO) notifies customers beginning Friday, December 16, 2022, Storage Critical Days are necessary for deliveries to all Market Areas within Operating Areas 4 and 10. TCO reminds customers of the Storage Critical Days currently in effect in Operating Area 1. Please note the following:      </w:t>
      </w:r>
    </w:p>
    <w:p w14:paraId="6B68B0B1"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Storage Critical Days</w:t>
      </w:r>
      <w:r>
        <w:rPr>
          <w:rFonts w:ascii="Times New Roman" w:hAnsi="Times New Roman" w:cs="Times New Roman"/>
        </w:rPr>
        <w:t>:  Friday, December 16, 2022, and continuing until further notice. TCO will monitor conditions and provide updates as necessary.    </w:t>
      </w:r>
    </w:p>
    <w:p w14:paraId="2A4F7648"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Applicable Market Areas</w:t>
      </w:r>
      <w:r>
        <w:rPr>
          <w:rFonts w:ascii="Times New Roman" w:hAnsi="Times New Roman" w:cs="Times New Roman"/>
        </w:rPr>
        <w:t>:  All Storage Withdrawals delivered to Market Areas within Operating Areas 1, 4, and 10 (see Market Areas below).      </w:t>
      </w:r>
    </w:p>
    <w:p w14:paraId="457964EC"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Applicable Penalties</w:t>
      </w:r>
      <w:r>
        <w:rPr>
          <w:rFonts w:ascii="Times New Roman" w:hAnsi="Times New Roman" w:cs="Times New Roman"/>
        </w:rPr>
        <w:t>:    </w:t>
      </w:r>
    </w:p>
    <w:p w14:paraId="5D21977C"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MDWQ - Withdrawn quantities in excess of 103% of the applicable contract MDWQ will be assessed a penalty based on a price per </w:t>
      </w:r>
      <w:proofErr w:type="spellStart"/>
      <w:r>
        <w:rPr>
          <w:rFonts w:ascii="Times New Roman" w:hAnsi="Times New Roman" w:cs="Times New Roman"/>
        </w:rPr>
        <w:t>Dth</w:t>
      </w:r>
      <w:proofErr w:type="spellEnd"/>
      <w:r>
        <w:rPr>
          <w:rFonts w:ascii="Times New Roman" w:hAnsi="Times New Roman" w:cs="Times New Roman"/>
        </w:rPr>
        <w:t xml:space="preserve"> equal to three times the midpoint rate for “Columbia Gas, Appalachia,” posted in Gas Daily.     </w:t>
      </w:r>
    </w:p>
    <w:p w14:paraId="6CBD6382"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SCQ - If withdrawals from storage result in the FSS contract having a negative SCQ balance, a penalty of $5 per </w:t>
      </w:r>
      <w:proofErr w:type="spellStart"/>
      <w:r>
        <w:rPr>
          <w:rFonts w:ascii="Times New Roman" w:hAnsi="Times New Roman" w:cs="Times New Roman"/>
        </w:rPr>
        <w:t>Dth</w:t>
      </w:r>
      <w:proofErr w:type="spellEnd"/>
      <w:r>
        <w:rPr>
          <w:rFonts w:ascii="Times New Roman" w:hAnsi="Times New Roman" w:cs="Times New Roman"/>
        </w:rPr>
        <w:t xml:space="preserve"> will be assessed.   </w:t>
      </w:r>
    </w:p>
    <w:p w14:paraId="389F6EE8"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xml:space="preserve">- FSS MMWQ - Monthly Withdrawal Quantities that exceed 40% (December Limit) of SCQ will be assessed a penalty of $5.00 per </w:t>
      </w:r>
      <w:proofErr w:type="spellStart"/>
      <w:r>
        <w:rPr>
          <w:rFonts w:ascii="Times New Roman" w:hAnsi="Times New Roman" w:cs="Times New Roman"/>
        </w:rPr>
        <w:t>Dth</w:t>
      </w:r>
      <w:proofErr w:type="spellEnd"/>
      <w:r>
        <w:rPr>
          <w:rFonts w:ascii="Times New Roman" w:hAnsi="Times New Roman" w:cs="Times New Roman"/>
        </w:rPr>
        <w:t>.    </w:t>
      </w:r>
    </w:p>
    <w:p w14:paraId="576E9DB6"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NOTE</w:t>
      </w:r>
      <w:r>
        <w:rPr>
          <w:rFonts w:ascii="Times New Roman" w:hAnsi="Times New Roman" w:cs="Times New Roman"/>
        </w:rPr>
        <w:t>:  Transporter projects no availability of interruptible storage withdrawal services (SIT, ISS, and FSS-M with zero MDSQ) and excess FSS withdrawals with delivery to one of the affected Market Areas.  PAL loans/ unparks with a delivery within the affected Market Areas will not be available.  Due ship nominations will be scheduled to zero.    </w:t>
      </w:r>
    </w:p>
    <w:p w14:paraId="49A52A61"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Please contact your Customer Services Representative with any questions.      </w:t>
      </w:r>
    </w:p>
    <w:p w14:paraId="6057AE38"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1 - MA 33, 34</w:t>
      </w:r>
    </w:p>
    <w:p w14:paraId="1EC37229"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4 - MA 21, 22, 23, 24, 25, 29</w:t>
      </w:r>
    </w:p>
    <w:p w14:paraId="4AFF643D"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rPr>
        <w:t>Op Area 10 - MA 28, 30, 31</w:t>
      </w:r>
    </w:p>
    <w:p w14:paraId="42B54DB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   </w:t>
      </w:r>
      <w:r>
        <w:rPr>
          <w:rFonts w:ascii="Times New Roman" w:hAnsi="Times New Roman" w:cs="Times New Roman"/>
          <w:b/>
          <w:bCs/>
        </w:rPr>
        <w:t>  </w:t>
      </w:r>
      <w:r>
        <w:rPr>
          <w:rFonts w:ascii="Times New Roman" w:hAnsi="Times New Roman" w:cs="Times New Roman"/>
        </w:rPr>
        <w:t> </w:t>
      </w:r>
    </w:p>
    <w:p w14:paraId="4073C30B"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rPr>
        <w:t>***Previous Posting***</w:t>
      </w:r>
    </w:p>
    <w:p w14:paraId="340E5B1B" w14:textId="77777777" w:rsidR="001B3B3F" w:rsidRDefault="001B3B3F" w:rsidP="001B3B3F">
      <w:pPr>
        <w:spacing w:before="100" w:beforeAutospacing="1"/>
        <w:rPr>
          <w:rFonts w:ascii="Times New Roman" w:hAnsi="Times New Roman" w:cs="Times New Roman"/>
        </w:rPr>
      </w:pPr>
    </w:p>
    <w:p w14:paraId="25C9FA0B"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sz w:val="24"/>
          <w:szCs w:val="24"/>
        </w:rPr>
        <w:t>Pursuant to the General Terms &amp; Conditions of TCO's FERC Gas Tariff, Section 19.7, shippers are advised that due to forecasted colder temperatures and increased market demand beginning Saturday, December 10, 2022, Storage Critical Days are necessary for deliveries to all Market Areas within Operating Area 1. Please note the following: </w:t>
      </w:r>
    </w:p>
    <w:p w14:paraId="508A4CA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sz w:val="24"/>
          <w:szCs w:val="24"/>
        </w:rPr>
        <w:t>Storage Critical Days</w:t>
      </w:r>
      <w:r>
        <w:rPr>
          <w:rFonts w:ascii="Times New Roman" w:hAnsi="Times New Roman" w:cs="Times New Roman"/>
          <w:sz w:val="24"/>
          <w:szCs w:val="24"/>
        </w:rPr>
        <w:t>:  Saturday, December 10, 2022, and continuing until further notice. TCO will monitor conditions and provide updates as necessary.   </w:t>
      </w:r>
    </w:p>
    <w:p w14:paraId="64ABF956"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sz w:val="24"/>
          <w:szCs w:val="24"/>
        </w:rPr>
        <w:t>Applicable Market Areas</w:t>
      </w:r>
      <w:r>
        <w:rPr>
          <w:rFonts w:ascii="Times New Roman" w:hAnsi="Times New Roman" w:cs="Times New Roman"/>
          <w:sz w:val="24"/>
          <w:szCs w:val="24"/>
        </w:rPr>
        <w:t>:  All Storage Withdrawals delivered to Market Areas within Operating Area 1 (see Market Areas below). </w:t>
      </w:r>
    </w:p>
    <w:p w14:paraId="34894171"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sz w:val="24"/>
          <w:szCs w:val="24"/>
        </w:rPr>
        <w:t>Applicable Penalties</w:t>
      </w:r>
      <w:r>
        <w:rPr>
          <w:rFonts w:ascii="Times New Roman" w:hAnsi="Times New Roman" w:cs="Times New Roman"/>
          <w:sz w:val="24"/>
          <w:szCs w:val="24"/>
        </w:rPr>
        <w:t>:</w:t>
      </w:r>
    </w:p>
    <w:p w14:paraId="10A066CB"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sz w:val="24"/>
          <w:szCs w:val="24"/>
        </w:rPr>
        <w:t xml:space="preserve">- FSS MDWQ - Withdrawn quantities in excess of 103% of the applicable contract MDWQ will be assessed a penalty based on a price per </w:t>
      </w:r>
      <w:proofErr w:type="spellStart"/>
      <w:r>
        <w:rPr>
          <w:rFonts w:ascii="Times New Roman" w:hAnsi="Times New Roman" w:cs="Times New Roman"/>
          <w:sz w:val="24"/>
          <w:szCs w:val="24"/>
        </w:rPr>
        <w:t>Dth</w:t>
      </w:r>
      <w:proofErr w:type="spellEnd"/>
      <w:r>
        <w:rPr>
          <w:rFonts w:ascii="Times New Roman" w:hAnsi="Times New Roman" w:cs="Times New Roman"/>
          <w:sz w:val="24"/>
          <w:szCs w:val="24"/>
        </w:rPr>
        <w:t xml:space="preserve"> equal to three times the midpoint rate for “Columbia Gas, Appalachia,” posted in Gas Daily.  </w:t>
      </w:r>
    </w:p>
    <w:p w14:paraId="74942BF2"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sz w:val="24"/>
          <w:szCs w:val="24"/>
        </w:rPr>
        <w:t xml:space="preserve">- FSS SCQ - If withdrawals from storage result in the FSS contract having a negative SCQ balance, a penalty of $5 per </w:t>
      </w:r>
      <w:proofErr w:type="spellStart"/>
      <w:r>
        <w:rPr>
          <w:rFonts w:ascii="Times New Roman" w:hAnsi="Times New Roman" w:cs="Times New Roman"/>
          <w:sz w:val="24"/>
          <w:szCs w:val="24"/>
        </w:rPr>
        <w:t>Dth</w:t>
      </w:r>
      <w:proofErr w:type="spellEnd"/>
      <w:r>
        <w:rPr>
          <w:rFonts w:ascii="Times New Roman" w:hAnsi="Times New Roman" w:cs="Times New Roman"/>
          <w:sz w:val="24"/>
          <w:szCs w:val="24"/>
        </w:rPr>
        <w:t xml:space="preserve"> will be assessed. </w:t>
      </w:r>
    </w:p>
    <w:p w14:paraId="7366D793"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sz w:val="24"/>
          <w:szCs w:val="24"/>
        </w:rPr>
        <w:t xml:space="preserve">- FSS MMWQ - Monthly Withdrawal Quantities that exceed 40% (November Limit) of SCQ will be assessed a penalty of $5.00 per </w:t>
      </w:r>
      <w:proofErr w:type="spellStart"/>
      <w:r>
        <w:rPr>
          <w:rFonts w:ascii="Times New Roman" w:hAnsi="Times New Roman" w:cs="Times New Roman"/>
          <w:sz w:val="24"/>
          <w:szCs w:val="24"/>
        </w:rPr>
        <w:t>Dth</w:t>
      </w:r>
      <w:proofErr w:type="spellEnd"/>
      <w:r>
        <w:rPr>
          <w:rFonts w:ascii="Times New Roman" w:hAnsi="Times New Roman" w:cs="Times New Roman"/>
          <w:sz w:val="24"/>
          <w:szCs w:val="24"/>
        </w:rPr>
        <w:t>.   </w:t>
      </w:r>
    </w:p>
    <w:p w14:paraId="4B691B90"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sz w:val="24"/>
          <w:szCs w:val="24"/>
        </w:rPr>
        <w:t>NOTE</w:t>
      </w:r>
      <w:r>
        <w:rPr>
          <w:rFonts w:ascii="Times New Roman" w:hAnsi="Times New Roman" w:cs="Times New Roman"/>
          <w:sz w:val="24"/>
          <w:szCs w:val="24"/>
        </w:rPr>
        <w:t>:  Transporter projects no availability of interruptible storage withdrawal services (SIT, ISS, and FSS-M with zero MDSQ) and excess FSS withdrawals with delivery to one of the affected Market Areas.  PAL loans/ unparks with a delivery within the affected Market Areas will not be available.  Due ship nominations will be scheduled to zero. </w:t>
      </w:r>
    </w:p>
    <w:p w14:paraId="1A533237"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sz w:val="24"/>
          <w:szCs w:val="24"/>
        </w:rPr>
        <w:t>Please contact your Customer Services Representative with any questions. </w:t>
      </w:r>
    </w:p>
    <w:p w14:paraId="04BA25BA" w14:textId="77777777" w:rsidR="001B3B3F" w:rsidRDefault="001B3B3F" w:rsidP="001B3B3F">
      <w:pPr>
        <w:spacing w:before="100" w:beforeAutospacing="1"/>
        <w:rPr>
          <w:rFonts w:ascii="Times New Roman" w:hAnsi="Times New Roman" w:cs="Times New Roman"/>
        </w:rPr>
      </w:pPr>
      <w:r>
        <w:rPr>
          <w:rFonts w:ascii="Times New Roman" w:hAnsi="Times New Roman" w:cs="Times New Roman"/>
          <w:b/>
          <w:bCs/>
          <w:sz w:val="24"/>
          <w:szCs w:val="24"/>
        </w:rPr>
        <w:t>Op Area 1 - MA 33, 34</w:t>
      </w:r>
    </w:p>
    <w:p w14:paraId="0C3537E1" w14:textId="77777777" w:rsidR="00FF0E91" w:rsidRDefault="00FF0E91"/>
    <w:sectPr w:rsidR="00FF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3F"/>
    <w:rsid w:val="001B3B3F"/>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77D5"/>
  <w15:chartTrackingRefBased/>
  <w15:docId w15:val="{03241F68-6782-4EE9-B3F0-61F0F28A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B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Pamela</dc:creator>
  <cp:keywords/>
  <dc:description/>
  <cp:lastModifiedBy>McDowell, Pamela</cp:lastModifiedBy>
  <cp:revision>1</cp:revision>
  <dcterms:created xsi:type="dcterms:W3CDTF">2022-12-20T16:18:00Z</dcterms:created>
  <dcterms:modified xsi:type="dcterms:W3CDTF">2022-12-20T16:24:00Z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2022-12-20T16:18:35Z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21ef2101-0111-4ca3-9bd4-6363883a7a89</vt:lpwstr>
  </property>
  <property fmtid="{D5CDD505-2E9C-101B-9397-08002B2CF9AE}" pid="8" name="MSIP_Label_e3ac3a1a-de19-428b-b395-6d250d7743fb_ContentBits">
    <vt:lpwstr>0</vt:lpwstr>
  </property>
</Properties>
</file>