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0642F" w14:textId="77777777" w:rsidR="004C2336" w:rsidRDefault="004C2336" w:rsidP="004C2336">
      <w:pPr>
        <w:pStyle w:val="NormalWeb"/>
      </w:pPr>
      <w:r>
        <w:rPr>
          <w:rFonts w:ascii="Times New Roman" w:hAnsi="Times New Roman" w:cs="Times New Roman"/>
        </w:rPr>
        <w:t xml:space="preserve">You have requested email notification of notices from Columbia Gas Transmission, LLC. Please see the following notice which has also been posted on our </w:t>
      </w:r>
      <w:proofErr w:type="spellStart"/>
      <w:r>
        <w:rPr>
          <w:rFonts w:ascii="Times New Roman" w:hAnsi="Times New Roman" w:cs="Times New Roman"/>
        </w:rPr>
        <w:t>Infopost</w:t>
      </w:r>
      <w:proofErr w:type="spellEnd"/>
      <w:r>
        <w:rPr>
          <w:rFonts w:ascii="Times New Roman" w:hAnsi="Times New Roman" w:cs="Times New Roman"/>
        </w:rPr>
        <w:t xml:space="preserve"> site:</w:t>
      </w:r>
    </w:p>
    <w:p w14:paraId="1CE055C3" w14:textId="77777777" w:rsidR="004C2336" w:rsidRDefault="004C2336" w:rsidP="004C2336">
      <w:pPr>
        <w:pStyle w:val="NormalWeb"/>
      </w:pPr>
      <w:r>
        <w:rPr>
          <w:rFonts w:ascii="Times New Roman" w:hAnsi="Times New Roman" w:cs="Times New Roman"/>
        </w:rPr>
        <w:t>Subject: UPDATE: Transport Critical Day, Eff. January 29, 2021 - Op Areas 1, 2, 4, 5, 7, 8, 10</w:t>
      </w:r>
    </w:p>
    <w:p w14:paraId="6546E8E3" w14:textId="77777777" w:rsidR="004C2336" w:rsidRDefault="004C2336" w:rsidP="004C2336">
      <w:pPr>
        <w:pStyle w:val="NormalWeb"/>
        <w:rPr>
          <w:rFonts w:ascii="Times New Roman" w:hAnsi="Times New Roman" w:cs="Times New Roman"/>
        </w:rPr>
      </w:pPr>
      <w:r>
        <w:rPr>
          <w:rFonts w:ascii="Times New Roman" w:hAnsi="Times New Roman" w:cs="Times New Roman"/>
        </w:rPr>
        <w:t xml:space="preserve">Body: </w:t>
      </w:r>
    </w:p>
    <w:p w14:paraId="6C613E81"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rPr>
        <w:t>Columbia Gas Transmission, LLC (TCO) notifies customers beginning Friday, January 29, 2021, Transport Critical Days are necessary in all Market Areas within Operating Areas 1, 2, 4, 5, 7, 8, and 10. TCO reminds customers of the Transport Critical Days currently in effect in Operating Areas 1, 4, and 10 (beginning Wednesday, January 27, 2021).  Please note the following: </w:t>
      </w:r>
    </w:p>
    <w:p w14:paraId="69A7C63C"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Transport Critical Days:</w:t>
      </w:r>
      <w:r>
        <w:rPr>
          <w:rFonts w:ascii="Times New Roman" w:hAnsi="Times New Roman" w:cs="Times New Roman"/>
        </w:rPr>
        <w:t>  Friday, January 29, 2021 and continuing until further notice.  TCO will monitor conditions and provide updates as necessary.   </w:t>
      </w:r>
    </w:p>
    <w:p w14:paraId="646CD0E0"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Applicable Market Areas:</w:t>
      </w:r>
      <w:r>
        <w:rPr>
          <w:rFonts w:ascii="Times New Roman" w:hAnsi="Times New Roman" w:cs="Times New Roman"/>
        </w:rPr>
        <w:t>  All Market Areas within Operating Areas 1, 2, 4, 5, 7, 8, and 10 (see Market Areas below).  </w:t>
      </w:r>
    </w:p>
    <w:p w14:paraId="3D95FC7D"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Applicable Penalty</w:t>
      </w:r>
      <w:r>
        <w:rPr>
          <w:rFonts w:ascii="Times New Roman" w:hAnsi="Times New Roman" w:cs="Times New Roman"/>
        </w:rPr>
        <w:t xml:space="preserve">:  TFE – If Shipper's takes on any Day exceed the greater of 103 percent of or 1,000 </w:t>
      </w:r>
      <w:proofErr w:type="spellStart"/>
      <w:r>
        <w:rPr>
          <w:rFonts w:ascii="Times New Roman" w:hAnsi="Times New Roman" w:cs="Times New Roman"/>
        </w:rPr>
        <w:t>Dths</w:t>
      </w:r>
      <w:proofErr w:type="spellEnd"/>
      <w:r>
        <w:rPr>
          <w:rFonts w:ascii="Times New Roman" w:hAnsi="Times New Roman" w:cs="Times New Roman"/>
        </w:rPr>
        <w:t xml:space="preserve"> more than its Total Firm Entitlement (TFE), Shipper shall be assessed and pay a penalty based on the higher of: (</w:t>
      </w:r>
      <w:proofErr w:type="spellStart"/>
      <w:r>
        <w:rPr>
          <w:rFonts w:ascii="Times New Roman" w:hAnsi="Times New Roman" w:cs="Times New Roman"/>
        </w:rPr>
        <w:t>i</w:t>
      </w:r>
      <w:proofErr w:type="spellEnd"/>
      <w:r>
        <w:rPr>
          <w:rFonts w:ascii="Times New Roman" w:hAnsi="Times New Roman" w:cs="Times New Roman"/>
        </w:rPr>
        <w:t xml:space="preserve">)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of the range of prices reported for "Columbia Gas, Appalachia" as published in Platts Gas Daily price survey for all such quantities in excess of its TFE, or (ii) a price per </w:t>
      </w:r>
      <w:proofErr w:type="spellStart"/>
      <w:r>
        <w:rPr>
          <w:rFonts w:ascii="Times New Roman" w:hAnsi="Times New Roman" w:cs="Times New Roman"/>
        </w:rPr>
        <w:t>Dth</w:t>
      </w:r>
      <w:proofErr w:type="spellEnd"/>
      <w:r>
        <w:rPr>
          <w:rFonts w:ascii="Times New Roman" w:hAnsi="Times New Roman" w:cs="Times New Roman"/>
        </w:rPr>
        <w:t xml:space="preserve"> equal to 150 percent of the highest midpoint posting for either: </w:t>
      </w:r>
      <w:proofErr w:type="spellStart"/>
      <w:r>
        <w:rPr>
          <w:rFonts w:ascii="Times New Roman" w:hAnsi="Times New Roman" w:cs="Times New Roman"/>
        </w:rPr>
        <w:t>Mich</w:t>
      </w:r>
      <w:proofErr w:type="spellEnd"/>
      <w:r>
        <w:rPr>
          <w:rFonts w:ascii="Times New Roman" w:hAnsi="Times New Roman" w:cs="Times New Roman"/>
        </w:rPr>
        <w:t xml:space="preserve"> Con City-gate, Transco, Zone 6 Non-N.Y., or Texas Eastern, M-2 Receipts as published in Platts Gas Daily price survey for all such quantities in excess of its TFE.  Section 19.1(ii) penalties will only be assessed on days in which the daily spot price of gas exceeds three times the midpoint of the range of prices reported for “Columbia Gas, Appalachia.   </w:t>
      </w:r>
    </w:p>
    <w:p w14:paraId="3E041C74"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Takes in excess of Total Firm Entitlements (“TFE”) are penalized on Critical Days based on takes exceeding the aggregate daily amount of gas that TCO is obligated to deliver to a shipper under the shipper’s applicable rate schedule.  Each applicable rate schedule outlines this delivery obligation and, consequently, a shipper’s TFE.  (Notice ID 25678425 posted on December 1, 2015 explains in detail).  </w:t>
      </w:r>
    </w:p>
    <w:p w14:paraId="3EC46E33"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rPr>
        <w:t>TCO will be evaluating whether shippers have exceeded their TFE within the specific Market Areas affected by the Critical Day. Firm entitlements in other Market Areas will not be included in determining whether a shipper's flows are within their TFE in any Market Area subject to the Critical Day.   </w:t>
      </w:r>
    </w:p>
    <w:p w14:paraId="10C46F20"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rPr>
        <w:t>Please contact your Customer Services Representative with any questions.  </w:t>
      </w:r>
    </w:p>
    <w:p w14:paraId="5AE7D4DF"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1 - MA 33, 34</w:t>
      </w:r>
    </w:p>
    <w:p w14:paraId="0ADE5C56"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2 - MA20</w:t>
      </w:r>
    </w:p>
    <w:p w14:paraId="0F89033F"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4 - MA 21, 22, 23, 24, 25, 29</w:t>
      </w:r>
    </w:p>
    <w:p w14:paraId="164E3D9D"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5 - MA 2, 7</w:t>
      </w:r>
    </w:p>
    <w:p w14:paraId="529E6C94"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7 - MA 1, 3, 4, 5, 6, 8, 9, 41</w:t>
      </w:r>
    </w:p>
    <w:p w14:paraId="22B83A9E"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lastRenderedPageBreak/>
        <w:t>Op Area 8 - MA 26, 27, 32, 35, 36, 38, 39, 40, 42</w:t>
      </w:r>
    </w:p>
    <w:p w14:paraId="10AD7281"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10 - MA 28, 30, 31</w:t>
      </w:r>
    </w:p>
    <w:p w14:paraId="690E6DB1"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 </w:t>
      </w:r>
    </w:p>
    <w:p w14:paraId="69930D4B"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 </w:t>
      </w:r>
    </w:p>
    <w:p w14:paraId="4971E8F6"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rPr>
        <w:t>***Previous Posting***</w:t>
      </w:r>
    </w:p>
    <w:p w14:paraId="320302BB" w14:textId="77777777" w:rsidR="004C2336" w:rsidRDefault="004C2336" w:rsidP="004C2336">
      <w:pPr>
        <w:spacing w:before="100" w:beforeAutospacing="1"/>
        <w:rPr>
          <w:rFonts w:ascii="Times New Roman" w:hAnsi="Times New Roman" w:cs="Times New Roman"/>
        </w:rPr>
      </w:pPr>
    </w:p>
    <w:p w14:paraId="388C7FD9"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rPr>
        <w:t>Pursuant to the General Terms &amp; Conditions of TCO's FERC Gas Tariff, Section 19.7, shippers are advised that due to forecasted colder temperatures and increased market demand beginning Wednesday, January 27, 2021, Transport Critical Days are necessary in all Market Areas within Operating Areas 1, 4, and 10.  Please note the following:  </w:t>
      </w:r>
    </w:p>
    <w:p w14:paraId="01117F5A"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Transport Critical Days:</w:t>
      </w:r>
      <w:r>
        <w:rPr>
          <w:rFonts w:ascii="Times New Roman" w:hAnsi="Times New Roman" w:cs="Times New Roman"/>
        </w:rPr>
        <w:t>  Wednesday, January 27, 2021 and continuing until further notice.  TCO will monitor conditions and provide updates as necessary.  </w:t>
      </w:r>
    </w:p>
    <w:p w14:paraId="174F592B"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Applicable Market Areas:</w:t>
      </w:r>
      <w:r>
        <w:rPr>
          <w:rFonts w:ascii="Times New Roman" w:hAnsi="Times New Roman" w:cs="Times New Roman"/>
        </w:rPr>
        <w:t>  All Market Areas within Operating Areas 1, 4, and 10 (see Market Areas below). </w:t>
      </w:r>
    </w:p>
    <w:p w14:paraId="5A1C864F"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Applicable Penalty</w:t>
      </w:r>
      <w:r>
        <w:rPr>
          <w:rFonts w:ascii="Times New Roman" w:hAnsi="Times New Roman" w:cs="Times New Roman"/>
        </w:rPr>
        <w:t xml:space="preserve">:  TFE – If Shipper's takes on any Day exceed the greater of 103 percent of or 1,000 </w:t>
      </w:r>
      <w:proofErr w:type="spellStart"/>
      <w:r>
        <w:rPr>
          <w:rFonts w:ascii="Times New Roman" w:hAnsi="Times New Roman" w:cs="Times New Roman"/>
        </w:rPr>
        <w:t>Dths</w:t>
      </w:r>
      <w:proofErr w:type="spellEnd"/>
      <w:r>
        <w:rPr>
          <w:rFonts w:ascii="Times New Roman" w:hAnsi="Times New Roman" w:cs="Times New Roman"/>
        </w:rPr>
        <w:t xml:space="preserve"> more than its Total Firm Entitlement (TFE), Shipper shall be assessed and pay a penalty based on the higher of: (</w:t>
      </w:r>
      <w:proofErr w:type="spellStart"/>
      <w:r>
        <w:rPr>
          <w:rFonts w:ascii="Times New Roman" w:hAnsi="Times New Roman" w:cs="Times New Roman"/>
        </w:rPr>
        <w:t>i</w:t>
      </w:r>
      <w:proofErr w:type="spellEnd"/>
      <w:r>
        <w:rPr>
          <w:rFonts w:ascii="Times New Roman" w:hAnsi="Times New Roman" w:cs="Times New Roman"/>
        </w:rPr>
        <w:t xml:space="preserve">)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of the range of prices reported for "Columbia Gas, Appalachia" as published in Platts Gas Daily price survey for all such quantities in excess of its TFE, or (ii) a price per </w:t>
      </w:r>
      <w:proofErr w:type="spellStart"/>
      <w:r>
        <w:rPr>
          <w:rFonts w:ascii="Times New Roman" w:hAnsi="Times New Roman" w:cs="Times New Roman"/>
        </w:rPr>
        <w:t>Dth</w:t>
      </w:r>
      <w:proofErr w:type="spellEnd"/>
      <w:r>
        <w:rPr>
          <w:rFonts w:ascii="Times New Roman" w:hAnsi="Times New Roman" w:cs="Times New Roman"/>
        </w:rPr>
        <w:t xml:space="preserve"> equal to 150 percent of the highest midpoint posting for either: </w:t>
      </w:r>
      <w:proofErr w:type="spellStart"/>
      <w:r>
        <w:rPr>
          <w:rFonts w:ascii="Times New Roman" w:hAnsi="Times New Roman" w:cs="Times New Roman"/>
        </w:rPr>
        <w:t>Mich</w:t>
      </w:r>
      <w:proofErr w:type="spellEnd"/>
      <w:r>
        <w:rPr>
          <w:rFonts w:ascii="Times New Roman" w:hAnsi="Times New Roman" w:cs="Times New Roman"/>
        </w:rPr>
        <w:t xml:space="preserve"> Con City-gate, Transco, Zone 6 Non-N.Y., or Texas Eastern, M-2 Receipts as published in Platts Gas Daily price survey for all such quantities in excess of its TFE.  Section 19.1(ii) penalties will only be assessed on days in which the daily spot price of gas exceeds three times the midpoint of the range of prices reported for “Columbia Gas, Appalachia.  </w:t>
      </w:r>
    </w:p>
    <w:p w14:paraId="1359792E"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Takes in excess of Total Firm Entitlements (“TFE”) are penalized on Critical Days based on takes exceeding the aggregate daily amount of gas that TCO is obligated to deliver to a shipper under the shipper’s applicable rate schedule.  Each applicable rate schedule outlines this delivery obligation and, consequently, a shipper’s TFE.  (Notice ID 25678425 posted on December 1, 2015 explains in detail). </w:t>
      </w:r>
    </w:p>
    <w:p w14:paraId="6A8A87DD"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rPr>
        <w:t>TCO will be evaluating whether shippers have exceeded their TFE within the specific Market Areas affected by the Critical Day. Firm entitlements in other Market Areas will not be included in determining whether a shipper's flows are within their TFE in any Market Area subject to the Critical Day.  </w:t>
      </w:r>
    </w:p>
    <w:p w14:paraId="5F8B254A"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rPr>
        <w:t>Please contact your Customer Services Representative with any questions. </w:t>
      </w:r>
    </w:p>
    <w:p w14:paraId="78227952"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1 - MA 33, 34</w:t>
      </w:r>
    </w:p>
    <w:p w14:paraId="5D953F24"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4 - MA 21, 22, 23, 24, 25, 29</w:t>
      </w:r>
    </w:p>
    <w:p w14:paraId="41A427C3" w14:textId="77777777" w:rsidR="004C2336" w:rsidRDefault="004C2336" w:rsidP="004C2336">
      <w:pPr>
        <w:spacing w:before="100" w:beforeAutospacing="1"/>
        <w:rPr>
          <w:rFonts w:ascii="Times New Roman" w:hAnsi="Times New Roman" w:cs="Times New Roman"/>
        </w:rPr>
      </w:pPr>
      <w:r>
        <w:rPr>
          <w:rFonts w:ascii="Times New Roman" w:hAnsi="Times New Roman" w:cs="Times New Roman"/>
          <w:b/>
          <w:bCs/>
        </w:rPr>
        <w:t>Op Area 10 - MA 28, 30, 31</w:t>
      </w:r>
    </w:p>
    <w:p w14:paraId="51963BF4" w14:textId="77777777" w:rsidR="004C2336" w:rsidRDefault="004C2336" w:rsidP="004C2336">
      <w:pPr>
        <w:jc w:val="center"/>
        <w:rPr>
          <w:rFonts w:ascii="Times New Roman" w:eastAsia="Times New Roman" w:hAnsi="Times New Roman" w:cs="Times New Roman"/>
        </w:rPr>
      </w:pPr>
      <w:r>
        <w:rPr>
          <w:rFonts w:ascii="Times New Roman" w:eastAsia="Times New Roman" w:hAnsi="Times New Roman" w:cs="Times New Roman"/>
        </w:rPr>
        <w:lastRenderedPageBreak/>
        <w:pict w14:anchorId="52D2ED01">
          <v:rect id="_x0000_i1025" style="width:468pt;height:1.5pt" o:hralign="center" o:hrstd="t" o:hr="t" fillcolor="#a0a0a0" stroked="f"/>
        </w:pict>
      </w:r>
    </w:p>
    <w:p w14:paraId="0B86F0DC" w14:textId="77777777" w:rsidR="00BD665B" w:rsidRDefault="00BD665B">
      <w:bookmarkStart w:id="0" w:name="_GoBack"/>
      <w:bookmarkEnd w:id="0"/>
    </w:p>
    <w:sectPr w:rsidR="00BD6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36"/>
    <w:rsid w:val="004C2336"/>
    <w:rsid w:val="00BD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20B8"/>
  <w15:chartTrackingRefBased/>
  <w15:docId w15:val="{0C61D35F-B272-4F22-8513-57234A77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3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Heather</dc:creator>
  <cp:keywords/>
  <dc:description/>
  <cp:lastModifiedBy>Schroeder, Heather</cp:lastModifiedBy>
  <cp:revision>1</cp:revision>
  <dcterms:created xsi:type="dcterms:W3CDTF">2021-01-28T13:25:00Z</dcterms:created>
  <dcterms:modified xsi:type="dcterms:W3CDTF">2021-01-28T13:26:00Z</dcterms:modified>
</cp:coreProperties>
</file>